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53" w:rsidRDefault="00840253" w:rsidP="00840253">
      <w:pPr>
        <w:rPr>
          <w:rFonts w:ascii="AngsanaUPC" w:hAnsi="AngsanaUPC" w:cs="AngsanaUPC" w:hint="cs"/>
          <w:b/>
          <w:bCs/>
          <w:sz w:val="144"/>
          <w:szCs w:val="144"/>
          <w:cs/>
        </w:rPr>
      </w:pPr>
      <w:r>
        <w:rPr>
          <w:rFonts w:ascii="AngsanaUPC" w:hAnsi="AngsanaUPC" w:cs="AngsanaUPC" w:hint="c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340386E" wp14:editId="01C1CD33">
            <wp:simplePos x="0" y="0"/>
            <wp:positionH relativeFrom="column">
              <wp:posOffset>-371475</wp:posOffset>
            </wp:positionH>
            <wp:positionV relativeFrom="paragraph">
              <wp:posOffset>-695325</wp:posOffset>
            </wp:positionV>
            <wp:extent cx="21240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ress-notification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UPC" w:hAnsi="AngsanaUPC" w:cs="AngsanaUPC"/>
          <w:b/>
          <w:bCs/>
          <w:sz w:val="144"/>
          <w:szCs w:val="144"/>
        </w:rPr>
        <w:t xml:space="preserve">       </w:t>
      </w:r>
      <w:r w:rsidRPr="00840253">
        <w:rPr>
          <w:rFonts w:ascii="AngsanaUPC" w:hAnsi="AngsanaUPC" w:cs="AngsanaUPC" w:hint="cs"/>
          <w:b/>
          <w:bCs/>
          <w:sz w:val="144"/>
          <w:szCs w:val="144"/>
          <w:cs/>
        </w:rPr>
        <w:t>ประชาสัมพันธ์</w:t>
      </w:r>
      <w:r>
        <w:rPr>
          <w:rFonts w:ascii="AngsanaUPC" w:hAnsi="AngsanaUPC" w:cs="AngsanaUPC"/>
          <w:b/>
          <w:bCs/>
          <w:sz w:val="144"/>
          <w:szCs w:val="144"/>
        </w:rPr>
        <w:t xml:space="preserve"> </w:t>
      </w:r>
    </w:p>
    <w:p w:rsidR="00840253" w:rsidRPr="00840253" w:rsidRDefault="00840253" w:rsidP="00840253">
      <w:pPr>
        <w:spacing w:after="0" w:line="240" w:lineRule="auto"/>
        <w:ind w:firstLine="720"/>
        <w:rPr>
          <w:rFonts w:ascii="AngsanaUPC" w:hAnsi="AngsanaUPC" w:cs="AngsanaUPC"/>
          <w:b/>
          <w:bCs/>
          <w:sz w:val="144"/>
          <w:szCs w:val="144"/>
        </w:rPr>
      </w:pPr>
      <w:r w:rsidRPr="00840253">
        <w:rPr>
          <w:rFonts w:ascii="TH SarabunPSK" w:hAnsi="TH SarabunPSK" w:cs="TH SarabunPSK" w:hint="cs"/>
          <w:b/>
          <w:bCs/>
          <w:sz w:val="52"/>
          <w:szCs w:val="52"/>
          <w:cs/>
        </w:rPr>
        <w:t>โรงพยาบาลส่งเสริมสุขภาพตำบลหนองจอก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84025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ได้จัดให้มีการรณรงค์ฉีดวัคซีนไข้หวัดใหญ่ </w:t>
      </w:r>
      <w:r w:rsidRPr="00840253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2561</w:t>
      </w:r>
      <w:r w:rsidRPr="0084025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เ</w:t>
      </w:r>
      <w:r w:rsidRPr="00840253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พื่อลดปัญหาการเจ็บป่วย การเสียชีวิตในกลุ่มเสี่ยง </w:t>
      </w:r>
      <w:r w:rsidRPr="00840253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 xml:space="preserve">ในวันอังคารที่ </w:t>
      </w:r>
      <w:r w:rsidRPr="00840253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5</w:t>
      </w:r>
      <w:r w:rsidRPr="00840253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 xml:space="preserve">  มิถุนายน</w:t>
      </w:r>
      <w:r w:rsidRPr="00840253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 xml:space="preserve"> 2561 </w:t>
      </w:r>
      <w:r w:rsidRPr="0084025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ตั้งแต่เวลา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08.30</w:t>
      </w:r>
      <w:r w:rsidRPr="00840253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11.30</w:t>
      </w:r>
      <w:r w:rsidRPr="0084025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น.  </w:t>
      </w:r>
    </w:p>
    <w:p w:rsidR="00840253" w:rsidRPr="00840253" w:rsidRDefault="00840253" w:rsidP="008402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  <w:r w:rsidRPr="00840253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 xml:space="preserve">กลุ่มเป้าหมายที่ควรได้รับการฉีดวัคซีนไข้หวัดใหญ่  </w:t>
      </w:r>
      <w:r w:rsidRPr="00840253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256</w:t>
      </w:r>
      <w:r w:rsidRPr="00840253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1</w:t>
      </w:r>
    </w:p>
    <w:p w:rsidR="00840253" w:rsidRPr="00F64D9B" w:rsidRDefault="00840253" w:rsidP="00840253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4"/>
          <w:szCs w:val="44"/>
        </w:rPr>
      </w:pPr>
      <w:r w:rsidRPr="00F64D9B">
        <w:rPr>
          <w:rFonts w:ascii="TH SarabunPSK" w:hAnsi="TH SarabunPSK" w:cs="TH SarabunPSK"/>
          <w:b/>
          <w:bCs/>
          <w:sz w:val="44"/>
          <w:szCs w:val="44"/>
          <w:cs/>
        </w:rPr>
        <w:t>บุคลากรทางการแพทย์</w:t>
      </w:r>
      <w:r w:rsidRPr="00F64D9B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F64D9B">
        <w:rPr>
          <w:rFonts w:ascii="TH SarabunPSK" w:hAnsi="TH SarabunPSK" w:cs="TH SarabunPSK"/>
          <w:b/>
          <w:bCs/>
          <w:sz w:val="44"/>
          <w:szCs w:val="44"/>
          <w:cs/>
        </w:rPr>
        <w:t>และเจ้าหน้าที่ที่เกี่ยวข้องกับผู้ป่วย</w:t>
      </w:r>
    </w:p>
    <w:p w:rsidR="00840253" w:rsidRPr="00F64D9B" w:rsidRDefault="00840253" w:rsidP="00840253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4"/>
          <w:szCs w:val="44"/>
        </w:rPr>
      </w:pPr>
      <w:r w:rsidRPr="00F64D9B">
        <w:rPr>
          <w:rFonts w:ascii="TH SarabunPSK" w:hAnsi="TH SarabunPSK" w:cs="TH SarabunPSK"/>
          <w:b/>
          <w:bCs/>
          <w:sz w:val="44"/>
          <w:szCs w:val="44"/>
          <w:cs/>
        </w:rPr>
        <w:t>หญิงมีครรภ์ อายุ 4 เดือนขึ้นไป</w:t>
      </w:r>
      <w:bookmarkStart w:id="0" w:name="_GoBack"/>
      <w:bookmarkEnd w:id="0"/>
    </w:p>
    <w:p w:rsidR="00840253" w:rsidRPr="00F64D9B" w:rsidRDefault="00F64D9B" w:rsidP="00840253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4"/>
          <w:szCs w:val="44"/>
        </w:rPr>
      </w:pPr>
      <w:r w:rsidRPr="00F64D9B">
        <w:rPr>
          <w:rFonts w:ascii="AngsanaUPC" w:hAnsi="AngsanaUPC" w:cs="AngsanaUPC" w:hint="cs"/>
          <w:b/>
          <w:bCs/>
          <w:noProof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168F2A5E" wp14:editId="0D590D33">
            <wp:simplePos x="0" y="0"/>
            <wp:positionH relativeFrom="column">
              <wp:posOffset>5886450</wp:posOffset>
            </wp:positionH>
            <wp:positionV relativeFrom="paragraph">
              <wp:posOffset>574675</wp:posOffset>
            </wp:positionV>
            <wp:extent cx="3562350" cy="1781175"/>
            <wp:effectExtent l="0" t="0" r="0" b="9525"/>
            <wp:wrapTight wrapText="bothSides">
              <wp:wrapPolygon edited="0">
                <wp:start x="462" y="0"/>
                <wp:lineTo x="0" y="462"/>
                <wp:lineTo x="0" y="21253"/>
                <wp:lineTo x="462" y="21484"/>
                <wp:lineTo x="21022" y="21484"/>
                <wp:lineTo x="21484" y="21253"/>
                <wp:lineTo x="21484" y="462"/>
                <wp:lineTo x="21022" y="0"/>
                <wp:lineTo x="462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253" w:rsidRPr="00F64D9B">
        <w:rPr>
          <w:rFonts w:ascii="TH SarabunPSK" w:hAnsi="TH SarabunPSK" w:cs="TH SarabunPSK"/>
          <w:b/>
          <w:bCs/>
          <w:sz w:val="44"/>
          <w:szCs w:val="44"/>
          <w:cs/>
        </w:rPr>
        <w:t>ผู้ที่มีโรคเรื้อรัง คือ ปอดอุดกั้นเรื้องรัง หอบหืด หัวใจ หลอดเลือดสมอง ไตวาย มะเร็งที่กำลังให้เคมีบำบัด เบาหวาน</w:t>
      </w:r>
    </w:p>
    <w:p w:rsidR="00840253" w:rsidRPr="00F64D9B" w:rsidRDefault="00840253" w:rsidP="00840253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4"/>
          <w:szCs w:val="44"/>
        </w:rPr>
      </w:pPr>
      <w:r w:rsidRPr="00F64D9B">
        <w:rPr>
          <w:rFonts w:ascii="TH SarabunPSK" w:hAnsi="TH SarabunPSK" w:cs="TH SarabunPSK"/>
          <w:b/>
          <w:bCs/>
          <w:sz w:val="44"/>
          <w:szCs w:val="44"/>
          <w:cs/>
        </w:rPr>
        <w:t>บุคคลที่มีอายุ 65 ปีขึ้นไป</w:t>
      </w:r>
    </w:p>
    <w:p w:rsidR="00840253" w:rsidRPr="00F64D9B" w:rsidRDefault="00840253" w:rsidP="00840253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4"/>
          <w:szCs w:val="44"/>
        </w:rPr>
      </w:pPr>
      <w:r w:rsidRPr="00F64D9B">
        <w:rPr>
          <w:rFonts w:ascii="TH SarabunPSK" w:hAnsi="TH SarabunPSK" w:cs="TH SarabunPSK"/>
          <w:b/>
          <w:bCs/>
          <w:sz w:val="44"/>
          <w:szCs w:val="44"/>
          <w:cs/>
        </w:rPr>
        <w:t>ผู้พิการที่ช่วยเหลือตัวเองไม่ได้</w:t>
      </w:r>
    </w:p>
    <w:p w:rsidR="00840253" w:rsidRPr="00F64D9B" w:rsidRDefault="00840253" w:rsidP="00840253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4"/>
          <w:szCs w:val="44"/>
        </w:rPr>
      </w:pPr>
      <w:r w:rsidRPr="00F64D9B">
        <w:rPr>
          <w:rFonts w:ascii="TH SarabunPSK" w:hAnsi="TH SarabunPSK" w:cs="TH SarabunPSK"/>
          <w:b/>
          <w:bCs/>
          <w:sz w:val="44"/>
          <w:szCs w:val="44"/>
          <w:cs/>
        </w:rPr>
        <w:t>โรคธาลัสซีเมีย ภูมิคุ้มกันบกพร่อง (รวมถึงผู้ติดเชื้อเอชไอวีที่มีอาการ)</w:t>
      </w:r>
    </w:p>
    <w:p w:rsidR="00840253" w:rsidRPr="00F64D9B" w:rsidRDefault="00840253" w:rsidP="00840253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4"/>
          <w:szCs w:val="44"/>
        </w:rPr>
      </w:pPr>
      <w:r w:rsidRPr="00F64D9B">
        <w:rPr>
          <w:rFonts w:ascii="TH SarabunPSK" w:hAnsi="TH SarabunPSK" w:cs="TH SarabunPSK"/>
          <w:b/>
          <w:bCs/>
          <w:sz w:val="44"/>
          <w:szCs w:val="44"/>
          <w:cs/>
        </w:rPr>
        <w:t>ผู้ที่มีน้ำหนักตั้งแต่</w:t>
      </w:r>
      <w:r w:rsidRPr="00F64D9B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F64D9B">
        <w:rPr>
          <w:rFonts w:ascii="TH SarabunPSK" w:hAnsi="TH SarabunPSK" w:cs="TH SarabunPSK"/>
          <w:b/>
          <w:bCs/>
          <w:sz w:val="44"/>
          <w:szCs w:val="44"/>
          <w:cs/>
        </w:rPr>
        <w:t xml:space="preserve">100 กิโลกรัมหรือ 35 </w:t>
      </w:r>
      <w:r w:rsidRPr="00F64D9B">
        <w:rPr>
          <w:rFonts w:ascii="TH SarabunPSK" w:hAnsi="TH SarabunPSK" w:cs="TH SarabunPSK"/>
          <w:b/>
          <w:bCs/>
          <w:sz w:val="44"/>
          <w:szCs w:val="44"/>
        </w:rPr>
        <w:t>Kg/m</w:t>
      </w:r>
      <w:r w:rsidRPr="00F64D9B">
        <w:rPr>
          <w:rFonts w:ascii="TH SarabunPSK" w:hAnsi="TH SarabunPSK" w:cs="TH SarabunPSK"/>
          <w:b/>
          <w:bCs/>
          <w:sz w:val="44"/>
          <w:szCs w:val="44"/>
          <w:cs/>
        </w:rPr>
        <w:t>²</w:t>
      </w:r>
    </w:p>
    <w:p w:rsidR="00840253" w:rsidRPr="00E50AE0" w:rsidRDefault="00840253" w:rsidP="00840253">
      <w:pPr>
        <w:ind w:left="360"/>
        <w:rPr>
          <w:rFonts w:ascii="TH SarabunPSK" w:hAnsi="TH SarabunPSK" w:cs="TH SarabunPSK"/>
          <w:sz w:val="32"/>
          <w:szCs w:val="32"/>
        </w:rPr>
      </w:pPr>
    </w:p>
    <w:p w:rsidR="00840253" w:rsidRPr="00840253" w:rsidRDefault="00840253" w:rsidP="00840253">
      <w:pPr>
        <w:jc w:val="center"/>
        <w:rPr>
          <w:rFonts w:ascii="AngsanaUPC" w:hAnsi="AngsanaUPC" w:cs="AngsanaUPC" w:hint="cs"/>
          <w:sz w:val="96"/>
          <w:szCs w:val="96"/>
          <w:cs/>
        </w:rPr>
      </w:pPr>
    </w:p>
    <w:sectPr w:rsidR="00840253" w:rsidRPr="00840253" w:rsidSect="008402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954"/>
    <w:multiLevelType w:val="hybridMultilevel"/>
    <w:tmpl w:val="EDC2BE88"/>
    <w:lvl w:ilvl="0" w:tplc="02D02A2A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53"/>
    <w:rsid w:val="007875CA"/>
    <w:rsid w:val="00840253"/>
    <w:rsid w:val="00D2666A"/>
    <w:rsid w:val="00F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025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4025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025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4025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2018-05-24T04:10:00Z</cp:lastPrinted>
  <dcterms:created xsi:type="dcterms:W3CDTF">2018-05-24T03:45:00Z</dcterms:created>
  <dcterms:modified xsi:type="dcterms:W3CDTF">2018-05-24T04:31:00Z</dcterms:modified>
</cp:coreProperties>
</file>